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746" w:rsidRPr="0024481E" w:rsidRDefault="00851746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4481E">
        <w:rPr>
          <w:rFonts w:ascii="Times New Roman" w:hAnsi="Times New Roman" w:cs="Times New Roman"/>
          <w:b/>
          <w:sz w:val="32"/>
          <w:szCs w:val="28"/>
        </w:rPr>
        <w:t>Тарифы на электрическую энергию, поставляемую</w:t>
      </w:r>
    </w:p>
    <w:p w:rsidR="00851746" w:rsidRPr="0024481E" w:rsidRDefault="00851746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4481E">
        <w:rPr>
          <w:rFonts w:ascii="Times New Roman" w:hAnsi="Times New Roman" w:cs="Times New Roman"/>
          <w:b/>
          <w:sz w:val="32"/>
          <w:szCs w:val="28"/>
        </w:rPr>
        <w:t>населению и пр</w:t>
      </w:r>
      <w:bookmarkStart w:id="0" w:name="_GoBack"/>
      <w:bookmarkEnd w:id="0"/>
      <w:r w:rsidRPr="0024481E">
        <w:rPr>
          <w:rFonts w:ascii="Times New Roman" w:hAnsi="Times New Roman" w:cs="Times New Roman"/>
          <w:b/>
          <w:sz w:val="32"/>
          <w:szCs w:val="28"/>
        </w:rPr>
        <w:t>иравненным к нему категориям потребителей</w:t>
      </w:r>
    </w:p>
    <w:p w:rsidR="00851746" w:rsidRPr="0024481E" w:rsidRDefault="00851746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4481E">
        <w:rPr>
          <w:rFonts w:ascii="Times New Roman" w:hAnsi="Times New Roman" w:cs="Times New Roman"/>
          <w:b/>
          <w:sz w:val="32"/>
          <w:szCs w:val="28"/>
        </w:rPr>
        <w:t>в субъектах Центрального федерального округа, на 202</w:t>
      </w:r>
      <w:r w:rsidR="0076194C">
        <w:rPr>
          <w:rFonts w:ascii="Times New Roman" w:hAnsi="Times New Roman" w:cs="Times New Roman"/>
          <w:b/>
          <w:sz w:val="32"/>
          <w:szCs w:val="28"/>
        </w:rPr>
        <w:t>6</w:t>
      </w:r>
      <w:r w:rsidRPr="0024481E">
        <w:rPr>
          <w:rFonts w:ascii="Times New Roman" w:hAnsi="Times New Roman" w:cs="Times New Roman"/>
          <w:b/>
          <w:sz w:val="32"/>
          <w:szCs w:val="28"/>
        </w:rPr>
        <w:t xml:space="preserve"> год </w:t>
      </w:r>
    </w:p>
    <w:p w:rsidR="00851746" w:rsidRPr="00B31EAB" w:rsidRDefault="00851746" w:rsidP="000E21B8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0E21B8" w:rsidRDefault="000E21B8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Одноставочный тариф</w:t>
      </w:r>
    </w:p>
    <w:p w:rsidR="000E21B8" w:rsidRDefault="000E21B8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группы "Население, проживающее в городских населенных пунктах</w:t>
      </w:r>
    </w:p>
    <w:p w:rsidR="000E21B8" w:rsidRDefault="000E21B8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домах, оборудованных в установленном порядке газовыми плитами"</w:t>
      </w:r>
    </w:p>
    <w:p w:rsidR="00851746" w:rsidRDefault="000E21B8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для первого диапазона объемов потребления электрической энергии (мощности))</w:t>
      </w:r>
    </w:p>
    <w:p w:rsidR="00851746" w:rsidRPr="00B31EAB" w:rsidRDefault="00851746" w:rsidP="000E21B8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9E081D" w:rsidRDefault="000E21B8" w:rsidP="0085174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руб./кВт·ч</w:t>
      </w:r>
      <w:r w:rsidRPr="00B31E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51746" w:rsidRPr="00B31EAB">
        <w:rPr>
          <w:rFonts w:ascii="Times New Roman" w:hAnsi="Times New Roman" w:cs="Times New Roman"/>
          <w:sz w:val="28"/>
          <w:szCs w:val="28"/>
        </w:rPr>
        <w:t>с НДС)</w:t>
      </w:r>
    </w:p>
    <w:p w:rsidR="00C01046" w:rsidRDefault="0076194C" w:rsidP="000E21B8">
      <w:pPr>
        <w:ind w:left="-1276"/>
        <w:jc w:val="both"/>
      </w:pPr>
      <w:r>
        <w:rPr>
          <w:noProof/>
          <w:lang w:eastAsia="ru-RU"/>
        </w:rPr>
        <w:drawing>
          <wp:inline distT="0" distB="0" distL="0" distR="0" wp14:anchorId="379DF275" wp14:editId="3C47A5D6">
            <wp:extent cx="7077075" cy="325755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01046" w:rsidRDefault="00C01046" w:rsidP="00C01046"/>
    <w:p w:rsidR="00851746" w:rsidRPr="00C01046" w:rsidRDefault="00C01046" w:rsidP="00C01046">
      <w:pPr>
        <w:tabs>
          <w:tab w:val="left" w:pos="2265"/>
        </w:tabs>
      </w:pPr>
      <w:r>
        <w:tab/>
      </w:r>
    </w:p>
    <w:sectPr w:rsidR="00851746" w:rsidRPr="00C01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6E"/>
    <w:rsid w:val="000E21B8"/>
    <w:rsid w:val="001E0F45"/>
    <w:rsid w:val="00207140"/>
    <w:rsid w:val="00214204"/>
    <w:rsid w:val="0024481E"/>
    <w:rsid w:val="00380F13"/>
    <w:rsid w:val="0076194C"/>
    <w:rsid w:val="00851746"/>
    <w:rsid w:val="008A466E"/>
    <w:rsid w:val="00925F69"/>
    <w:rsid w:val="009E081D"/>
    <w:rsid w:val="00A24FAB"/>
    <w:rsid w:val="00C0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D0FCC"/>
  <w15:docId w15:val="{4ECB3187-F78E-46D1-9996-1B4C53D3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urilenkova_SE\Desktop\&#1044;&#1086;&#1089;&#1090;&#1091;&#1087;\&#1047;&#1072;&#1087;&#1088;&#1086;&#1089;&#1099;%20_%20&#1048;&#1085;&#1092;&#1086;&#1088;&#1084;&#1072;&#1094;&#1080;&#1103;\2026\&#1069;&#1069;%20&#1076;&#1083;&#1103;%20&#1085;&#1072;&#1089;&#1077;&#1083;&#1077;&#1085;&#1080;&#1103;%20&#1062;&#1060;&#1054;%202026%20&#1075;&#1086;&#1076;\&#1069;&#1069;%20&#1087;&#1086;%20&#1062;&#1060;&#1054;%20202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с 01.01.2026</c:v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7"/>
            <c:invertIfNegative val="0"/>
            <c:bubble3D val="0"/>
            <c:spPr>
              <a:solidFill>
                <a:srgbClr val="0099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942-4C01-B8B3-B120530A3C0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accent1">
                        <a:lumMod val="50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'Диаграмма 2026'!$C$4:$C$21</c:f>
              <c:strCache>
                <c:ptCount val="18"/>
                <c:pt idx="0">
                  <c:v>Ярославская область</c:v>
                </c:pt>
                <c:pt idx="1">
                  <c:v>Липецкая область</c:v>
                </c:pt>
                <c:pt idx="2">
                  <c:v>Курская область</c:v>
                </c:pt>
                <c:pt idx="3">
                  <c:v>Брянская область</c:v>
                </c:pt>
                <c:pt idx="4">
                  <c:v>Тверская область</c:v>
                </c:pt>
                <c:pt idx="5">
                  <c:v>Орловская область</c:v>
                </c:pt>
                <c:pt idx="6">
                  <c:v>Воронежская область</c:v>
                </c:pt>
                <c:pt idx="7">
                  <c:v>Смоленская область</c:v>
                </c:pt>
                <c:pt idx="8">
                  <c:v>Белгородская область</c:v>
                </c:pt>
                <c:pt idx="9">
                  <c:v>Тамбовская область</c:v>
                </c:pt>
                <c:pt idx="10">
                  <c:v>Костромская область</c:v>
                </c:pt>
                <c:pt idx="11">
                  <c:v>Тульская область</c:v>
                </c:pt>
                <c:pt idx="12">
                  <c:v>Владимирская область</c:v>
                </c:pt>
                <c:pt idx="13">
                  <c:v>Ивановская область</c:v>
                </c:pt>
                <c:pt idx="14">
                  <c:v>Рязанская область</c:v>
                </c:pt>
                <c:pt idx="15">
                  <c:v>Калужская область</c:v>
                </c:pt>
                <c:pt idx="16">
                  <c:v>г. Москва</c:v>
                </c:pt>
                <c:pt idx="17">
                  <c:v>Московская область</c:v>
                </c:pt>
              </c:strCache>
            </c:strRef>
          </c:cat>
          <c:val>
            <c:numRef>
              <c:f>'Диаграмма 2026'!$D$4:$D$21</c:f>
              <c:numCache>
                <c:formatCode>0.00</c:formatCode>
                <c:ptCount val="18"/>
                <c:pt idx="0">
                  <c:v>5.66</c:v>
                </c:pt>
                <c:pt idx="1">
                  <c:v>5.77</c:v>
                </c:pt>
                <c:pt idx="2">
                  <c:v>5.87</c:v>
                </c:pt>
                <c:pt idx="3">
                  <c:v>5.9</c:v>
                </c:pt>
                <c:pt idx="4">
                  <c:v>5.95</c:v>
                </c:pt>
                <c:pt idx="5">
                  <c:v>5.97</c:v>
                </c:pt>
                <c:pt idx="6">
                  <c:v>6.01</c:v>
                </c:pt>
                <c:pt idx="7">
                  <c:v>6.05</c:v>
                </c:pt>
                <c:pt idx="8">
                  <c:v>6.1</c:v>
                </c:pt>
                <c:pt idx="9">
                  <c:v>6.11</c:v>
                </c:pt>
                <c:pt idx="10">
                  <c:v>6.78</c:v>
                </c:pt>
                <c:pt idx="11">
                  <c:v>6.84</c:v>
                </c:pt>
                <c:pt idx="12">
                  <c:v>7.04</c:v>
                </c:pt>
                <c:pt idx="13">
                  <c:v>7.08</c:v>
                </c:pt>
                <c:pt idx="14">
                  <c:v>7.24</c:v>
                </c:pt>
                <c:pt idx="15">
                  <c:v>7.48</c:v>
                </c:pt>
                <c:pt idx="16">
                  <c:v>8</c:v>
                </c:pt>
                <c:pt idx="17">
                  <c:v>8.3800000000000008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942-4C01-B8B3-B120530A3C01}"/>
            </c:ext>
          </c:extLst>
        </c:ser>
        <c:ser>
          <c:idx val="1"/>
          <c:order val="1"/>
          <c:tx>
            <c:v>с 01.10.2026</c:v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7"/>
            <c:invertIfNegative val="0"/>
            <c:bubble3D val="0"/>
            <c:spPr>
              <a:solidFill>
                <a:srgbClr val="FF33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6942-4C01-B8B3-B120530A3C0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'Диаграмма 2026'!$C$4:$C$21</c:f>
              <c:strCache>
                <c:ptCount val="18"/>
                <c:pt idx="0">
                  <c:v>Ярославская область</c:v>
                </c:pt>
                <c:pt idx="1">
                  <c:v>Липецкая область</c:v>
                </c:pt>
                <c:pt idx="2">
                  <c:v>Курская область</c:v>
                </c:pt>
                <c:pt idx="3">
                  <c:v>Брянская область</c:v>
                </c:pt>
                <c:pt idx="4">
                  <c:v>Тверская область</c:v>
                </c:pt>
                <c:pt idx="5">
                  <c:v>Орловская область</c:v>
                </c:pt>
                <c:pt idx="6">
                  <c:v>Воронежская область</c:v>
                </c:pt>
                <c:pt idx="7">
                  <c:v>Смоленская область</c:v>
                </c:pt>
                <c:pt idx="8">
                  <c:v>Белгородская область</c:v>
                </c:pt>
                <c:pt idx="9">
                  <c:v>Тамбовская область</c:v>
                </c:pt>
                <c:pt idx="10">
                  <c:v>Костромская область</c:v>
                </c:pt>
                <c:pt idx="11">
                  <c:v>Тульская область</c:v>
                </c:pt>
                <c:pt idx="12">
                  <c:v>Владимирская область</c:v>
                </c:pt>
                <c:pt idx="13">
                  <c:v>Ивановская область</c:v>
                </c:pt>
                <c:pt idx="14">
                  <c:v>Рязанская область</c:v>
                </c:pt>
                <c:pt idx="15">
                  <c:v>Калужская область</c:v>
                </c:pt>
                <c:pt idx="16">
                  <c:v>г. Москва</c:v>
                </c:pt>
                <c:pt idx="17">
                  <c:v>Московская область</c:v>
                </c:pt>
              </c:strCache>
            </c:strRef>
          </c:cat>
          <c:val>
            <c:numRef>
              <c:f>'Диаграмма 2026'!$E$4:$E$21</c:f>
              <c:numCache>
                <c:formatCode>0.00</c:formatCode>
                <c:ptCount val="18"/>
                <c:pt idx="0">
                  <c:v>6.3</c:v>
                </c:pt>
                <c:pt idx="1">
                  <c:v>6.42</c:v>
                </c:pt>
                <c:pt idx="2">
                  <c:v>6.52</c:v>
                </c:pt>
                <c:pt idx="3">
                  <c:v>6.55</c:v>
                </c:pt>
                <c:pt idx="4">
                  <c:v>6.62</c:v>
                </c:pt>
                <c:pt idx="5">
                  <c:v>6.64</c:v>
                </c:pt>
                <c:pt idx="6">
                  <c:v>6.69</c:v>
                </c:pt>
                <c:pt idx="7">
                  <c:v>6.73</c:v>
                </c:pt>
                <c:pt idx="8">
                  <c:v>6.79</c:v>
                </c:pt>
                <c:pt idx="9">
                  <c:v>6.8</c:v>
                </c:pt>
                <c:pt idx="10">
                  <c:v>7.54</c:v>
                </c:pt>
                <c:pt idx="11">
                  <c:v>7.6</c:v>
                </c:pt>
                <c:pt idx="12">
                  <c:v>7.83</c:v>
                </c:pt>
                <c:pt idx="13">
                  <c:v>7.88</c:v>
                </c:pt>
                <c:pt idx="14">
                  <c:v>8.06</c:v>
                </c:pt>
                <c:pt idx="15">
                  <c:v>8.32</c:v>
                </c:pt>
                <c:pt idx="16">
                  <c:v>8.9</c:v>
                </c:pt>
                <c:pt idx="17">
                  <c:v>9.32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942-4C01-B8B3-B120530A3C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5"/>
        <c:axId val="132507904"/>
        <c:axId val="143396864"/>
      </c:barChart>
      <c:catAx>
        <c:axId val="132507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43396864"/>
        <c:crosses val="autoZero"/>
        <c:auto val="1"/>
        <c:lblAlgn val="ctr"/>
        <c:lblOffset val="100"/>
        <c:noMultiLvlLbl val="0"/>
      </c:catAx>
      <c:valAx>
        <c:axId val="1433968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bg1">
                    <a:lumMod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2507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sz="800" b="1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B46A3-6B5B-4482-95E7-17238E449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Куриленкова Светлана Евгеньевна</dc:creator>
  <cp:keywords/>
  <dc:description/>
  <cp:lastModifiedBy>Куриленкова Светлана Евгеньевна</cp:lastModifiedBy>
  <cp:revision>8</cp:revision>
  <dcterms:created xsi:type="dcterms:W3CDTF">2024-03-20T12:01:00Z</dcterms:created>
  <dcterms:modified xsi:type="dcterms:W3CDTF">2026-06-02T08:01:00Z</dcterms:modified>
</cp:coreProperties>
</file>